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C1F1B" w14:textId="544BF571" w:rsidR="00F518E8" w:rsidRDefault="00F518E8" w:rsidP="001E648E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1A68D9" wp14:editId="1660EDBB">
            <wp:simplePos x="0" y="0"/>
            <wp:positionH relativeFrom="column">
              <wp:posOffset>-60960</wp:posOffset>
            </wp:positionH>
            <wp:positionV relativeFrom="paragraph">
              <wp:posOffset>180</wp:posOffset>
            </wp:positionV>
            <wp:extent cx="1562400" cy="795600"/>
            <wp:effectExtent l="0" t="0" r="0" b="5080"/>
            <wp:wrapTight wrapText="bothSides">
              <wp:wrapPolygon edited="0">
                <wp:start x="10361" y="0"/>
                <wp:lineTo x="8780" y="5866"/>
                <wp:lineTo x="7200" y="6556"/>
                <wp:lineTo x="5620" y="9661"/>
                <wp:lineTo x="5620" y="11387"/>
                <wp:lineTo x="4917" y="13112"/>
                <wp:lineTo x="4390" y="16907"/>
                <wp:lineTo x="1229" y="17942"/>
                <wp:lineTo x="527" y="18633"/>
                <wp:lineTo x="527" y="21393"/>
                <wp:lineTo x="21073" y="21393"/>
                <wp:lineTo x="21424" y="18633"/>
                <wp:lineTo x="20371" y="17597"/>
                <wp:lineTo x="17210" y="16217"/>
                <wp:lineTo x="16683" y="13112"/>
                <wp:lineTo x="15980" y="11387"/>
                <wp:lineTo x="16156" y="9661"/>
                <wp:lineTo x="14576" y="6556"/>
                <wp:lineTo x="12995" y="5866"/>
                <wp:lineTo x="11415" y="0"/>
                <wp:lineTo x="10361" y="0"/>
              </wp:wrapPolygon>
            </wp:wrapTight>
            <wp:docPr id="1" name="Immagine 1" descr="Immagine che contiene oggetto, orolo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IAS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400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72254" w14:textId="77777777" w:rsidR="00F518E8" w:rsidRDefault="00F518E8" w:rsidP="001E648E">
      <w:pPr>
        <w:spacing w:after="0"/>
        <w:jc w:val="center"/>
        <w:rPr>
          <w:b/>
          <w:sz w:val="28"/>
          <w:szCs w:val="28"/>
        </w:rPr>
      </w:pPr>
    </w:p>
    <w:p w14:paraId="0FC4BB1F" w14:textId="77777777" w:rsidR="00DA4341" w:rsidRDefault="00DA4341" w:rsidP="001E648E">
      <w:pPr>
        <w:spacing w:after="0"/>
        <w:jc w:val="center"/>
        <w:rPr>
          <w:b/>
          <w:sz w:val="28"/>
          <w:szCs w:val="28"/>
        </w:rPr>
      </w:pPr>
    </w:p>
    <w:p w14:paraId="6A7711E6" w14:textId="77777777" w:rsidR="00DA4341" w:rsidRDefault="00DA4341" w:rsidP="001E648E">
      <w:pPr>
        <w:spacing w:after="0"/>
        <w:jc w:val="center"/>
        <w:rPr>
          <w:b/>
          <w:sz w:val="28"/>
          <w:szCs w:val="28"/>
        </w:rPr>
      </w:pPr>
    </w:p>
    <w:p w14:paraId="2365092F" w14:textId="624455C0" w:rsidR="00F518E8" w:rsidRPr="001B28B4" w:rsidRDefault="00F518E8" w:rsidP="001E648E">
      <w:pPr>
        <w:spacing w:after="0"/>
        <w:jc w:val="center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COMUNICATO STAMPA</w:t>
      </w:r>
      <w:r w:rsidR="001B28B4">
        <w:rPr>
          <w:b/>
          <w:sz w:val="28"/>
          <w:szCs w:val="28"/>
        </w:rPr>
        <w:t xml:space="preserve"> </w:t>
      </w:r>
      <w:r w:rsidR="001B28B4" w:rsidRPr="001B28B4">
        <w:rPr>
          <w:bCs/>
          <w:i/>
          <w:iCs/>
          <w:sz w:val="28"/>
          <w:szCs w:val="28"/>
        </w:rPr>
        <w:t>(completo)</w:t>
      </w:r>
    </w:p>
    <w:p w14:paraId="7E323A84" w14:textId="13202C30" w:rsidR="00A84DDA" w:rsidRPr="00741D63" w:rsidRDefault="007A3E99" w:rsidP="001E648E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 w:rsidRPr="00741D63">
        <w:rPr>
          <w:b/>
          <w:color w:val="365F91" w:themeColor="accent1" w:themeShade="BF"/>
          <w:sz w:val="28"/>
          <w:szCs w:val="28"/>
        </w:rPr>
        <w:t>L’impatto sociale dell’amministrazione di sostegno</w:t>
      </w:r>
    </w:p>
    <w:p w14:paraId="6AEE9137" w14:textId="0B369980" w:rsidR="003C14D1" w:rsidRPr="00741D63" w:rsidRDefault="003C14D1" w:rsidP="001E648E">
      <w:pPr>
        <w:spacing w:after="0"/>
        <w:jc w:val="center"/>
        <w:rPr>
          <w:b/>
          <w:color w:val="365F91" w:themeColor="accent1" w:themeShade="BF"/>
          <w:sz w:val="24"/>
          <w:szCs w:val="24"/>
        </w:rPr>
      </w:pPr>
      <w:r w:rsidRPr="00741D63">
        <w:rPr>
          <w:b/>
          <w:color w:val="365F91" w:themeColor="accent1" w:themeShade="BF"/>
          <w:sz w:val="24"/>
          <w:szCs w:val="24"/>
        </w:rPr>
        <w:t>I principali risultati emersi da uno studio valutativo promosso da AIASS</w:t>
      </w:r>
    </w:p>
    <w:p w14:paraId="41ED594C" w14:textId="0747E83F" w:rsidR="00AD4E56" w:rsidRDefault="00AD4E56"/>
    <w:p w14:paraId="5F723D4E" w14:textId="3B861418" w:rsidR="00AA0C89" w:rsidRPr="00443871" w:rsidRDefault="00176461" w:rsidP="00443871">
      <w:pPr>
        <w:spacing w:after="120"/>
        <w:jc w:val="both"/>
      </w:pPr>
      <w:r>
        <w:t>L’istituto dell’amministrazione di sostegno</w:t>
      </w:r>
      <w:r w:rsidR="003C14D1">
        <w:t xml:space="preserve"> è stato </w:t>
      </w:r>
      <w:r>
        <w:t>introdotto nell’ordinamento giuridico italiano</w:t>
      </w:r>
      <w:r w:rsidR="003C14D1">
        <w:t xml:space="preserve">, </w:t>
      </w:r>
      <w:r w:rsidR="00D8489D">
        <w:t xml:space="preserve">a seguito di un pluriennale approfondimento conoscitivo promosso dal professor </w:t>
      </w:r>
      <w:r w:rsidR="00412D06">
        <w:t xml:space="preserve">Paolo </w:t>
      </w:r>
      <w:r w:rsidR="00D8489D">
        <w:t xml:space="preserve">Cendon, </w:t>
      </w:r>
      <w:r w:rsidR="00707ABA">
        <w:t>con la legge 9 gennaio 2004 n°6</w:t>
      </w:r>
      <w:r>
        <w:t xml:space="preserve">, </w:t>
      </w:r>
      <w:r w:rsidR="003C14D1">
        <w:t xml:space="preserve">che ha modificato il Codice civile. Come più volte si è espresso il giudice </w:t>
      </w:r>
      <w:r w:rsidR="00F518E8">
        <w:t xml:space="preserve">Enrico </w:t>
      </w:r>
      <w:proofErr w:type="spellStart"/>
      <w:r w:rsidR="003C14D1">
        <w:t>Manzon</w:t>
      </w:r>
      <w:proofErr w:type="spellEnd"/>
      <w:r w:rsidR="003C14D1">
        <w:t>,</w:t>
      </w:r>
      <w:r>
        <w:t xml:space="preserve"> </w:t>
      </w:r>
      <w:r w:rsidR="003C14D1">
        <w:t xml:space="preserve">può essere considerato </w:t>
      </w:r>
      <w:r w:rsidR="002778D8">
        <w:t>un “passaggio di civiltà” nella disciplina delle misure di protezione</w:t>
      </w:r>
      <w:r w:rsidR="00D8489D">
        <w:t xml:space="preserve">, </w:t>
      </w:r>
      <w:r>
        <w:t xml:space="preserve">uno degli strumenti </w:t>
      </w:r>
      <w:r w:rsidR="00260FF2">
        <w:t xml:space="preserve">di welfare </w:t>
      </w:r>
      <w:r>
        <w:t xml:space="preserve">più innovativi </w:t>
      </w:r>
      <w:r w:rsidR="00707ABA">
        <w:t xml:space="preserve">oggi a disposizione </w:t>
      </w:r>
      <w:r>
        <w:t xml:space="preserve">per </w:t>
      </w:r>
      <w:r w:rsidR="00707ABA">
        <w:t xml:space="preserve">promuovere e sostenere </w:t>
      </w:r>
      <w:r>
        <w:t xml:space="preserve">le persone </w:t>
      </w:r>
      <w:r w:rsidR="00707ABA">
        <w:t xml:space="preserve">in condizione di </w:t>
      </w:r>
      <w:r>
        <w:t>fragili</w:t>
      </w:r>
      <w:r w:rsidR="00707ABA">
        <w:t>tà. Purtroppo</w:t>
      </w:r>
      <w:r w:rsidR="00151C64">
        <w:t>,</w:t>
      </w:r>
      <w:r w:rsidR="00707ABA">
        <w:t xml:space="preserve"> la normativa è stata attuata in modo estremamente diversificato n</w:t>
      </w:r>
      <w:r>
        <w:t>ei diversi contesti territoriali del Paese</w:t>
      </w:r>
      <w:r w:rsidR="00BF3F98">
        <w:t xml:space="preserve">. </w:t>
      </w:r>
      <w:r w:rsidR="00D2097C">
        <w:t xml:space="preserve">Alla frammentarietà ha contribuito anche una </w:t>
      </w:r>
      <w:r w:rsidR="00B6535A">
        <w:t xml:space="preserve">produzione legislativa </w:t>
      </w:r>
      <w:r w:rsidR="00D8489D">
        <w:t xml:space="preserve">derivata </w:t>
      </w:r>
      <w:r w:rsidR="004B348E">
        <w:t xml:space="preserve">che ha interessato solo alcune realtà regionali (Emilia-Romagna, Friuli Venezia Giulia, Liguria, Veneto, Sardegna) </w:t>
      </w:r>
      <w:r w:rsidR="00B6535A">
        <w:t xml:space="preserve">e </w:t>
      </w:r>
      <w:r w:rsidR="004B348E">
        <w:t xml:space="preserve">le due </w:t>
      </w:r>
      <w:r w:rsidR="00B6535A">
        <w:t>Province Autonome di Trento e Bolzano</w:t>
      </w:r>
      <w:r w:rsidR="00D2097C">
        <w:t xml:space="preserve">. </w:t>
      </w:r>
      <w:r w:rsidR="00B6535A">
        <w:t>A</w:t>
      </w:r>
      <w:r w:rsidR="00260FF2">
        <w:t xml:space="preserve"> </w:t>
      </w:r>
      <w:r w:rsidR="00707ABA">
        <w:t>d</w:t>
      </w:r>
      <w:r w:rsidR="00260FF2">
        <w:t xml:space="preserve">istanza di quindici anni dalla sua introduzione, </w:t>
      </w:r>
      <w:r w:rsidR="00707ABA">
        <w:t xml:space="preserve">è </w:t>
      </w:r>
      <w:r w:rsidR="00260FF2">
        <w:t xml:space="preserve">ancora </w:t>
      </w:r>
      <w:r w:rsidR="00707ABA">
        <w:t>del tutto assente una valutazione in gr</w:t>
      </w:r>
      <w:r w:rsidR="00260FF2">
        <w:t>ado di tracciare un profilo nazionale di questo istituto giuridico</w:t>
      </w:r>
      <w:r w:rsidR="00BF3F98">
        <w:t xml:space="preserve">: non si dispone di una quantificazione puntuale </w:t>
      </w:r>
      <w:r w:rsidR="00517C4E">
        <w:t xml:space="preserve">e sistematica </w:t>
      </w:r>
      <w:r w:rsidR="00BF3F98">
        <w:t>della diffusione dei provvedimenti e nemmeno</w:t>
      </w:r>
      <w:r w:rsidR="00517C4E">
        <w:t xml:space="preserve"> di una ricognizione delle di</w:t>
      </w:r>
      <w:r w:rsidR="00836C13">
        <w:t xml:space="preserve">fferenti </w:t>
      </w:r>
      <w:r w:rsidR="00517C4E">
        <w:t>modalità attuative</w:t>
      </w:r>
      <w:r w:rsidR="00BF3F98">
        <w:t xml:space="preserve">. </w:t>
      </w:r>
      <w:r w:rsidR="00D8489D">
        <w:t xml:space="preserve">D’altro canto, emergono </w:t>
      </w:r>
      <w:r w:rsidR="00260FF2">
        <w:t>sempre più numerose ed interessanti esperienze locali</w:t>
      </w:r>
      <w:r w:rsidR="009C565D">
        <w:t>, ma che faticano a diventare prassi condivise su ampia scala</w:t>
      </w:r>
      <w:r w:rsidR="00260FF2">
        <w:t>.</w:t>
      </w:r>
      <w:r w:rsidR="00175B93">
        <w:t xml:space="preserve"> </w:t>
      </w:r>
      <w:r w:rsidR="006E32BB">
        <w:t xml:space="preserve">Tra queste può essere sicuramente annoverata l’esperienza attuata nel circondario del Tribunale di Pordenone, che di fatto ha costituito un importante esempio per la stesura della legge regionale </w:t>
      </w:r>
      <w:r w:rsidR="00C1561C" w:rsidRPr="00443871">
        <w:t xml:space="preserve">16 novembre 2010, n°19, </w:t>
      </w:r>
      <w:r w:rsidR="00443871">
        <w:t>“</w:t>
      </w:r>
      <w:r w:rsidR="00C1561C" w:rsidRPr="00443871">
        <w:t>Interventi per la promozione e la diffusione dell’amministrazione di sostegno a tutela dei soggetti deboli</w:t>
      </w:r>
      <w:r w:rsidR="00443871">
        <w:t>”.</w:t>
      </w:r>
    </w:p>
    <w:p w14:paraId="189837A2" w14:textId="77777777" w:rsidR="00C1561C" w:rsidRDefault="00C1561C" w:rsidP="00443871">
      <w:pPr>
        <w:spacing w:after="120"/>
        <w:jc w:val="both"/>
      </w:pPr>
    </w:p>
    <w:p w14:paraId="1A22021F" w14:textId="3E52244F" w:rsidR="00176461" w:rsidRDefault="00D8489D" w:rsidP="0016658B">
      <w:pPr>
        <w:spacing w:after="120"/>
        <w:jc w:val="both"/>
      </w:pPr>
      <w:r>
        <w:t xml:space="preserve">A fronte di questo quadro, l’AIASS (Associazione Italiana Amministratori di Sostegno Solidali), nell’ambito di un progetto d’intervento denominato </w:t>
      </w:r>
      <w:r w:rsidRPr="00D8489D">
        <w:rPr>
          <w:rFonts w:cstheme="minorHAnsi"/>
        </w:rPr>
        <w:t>“</w:t>
      </w:r>
      <w:r w:rsidRPr="00D8489D">
        <w:rPr>
          <w:rFonts w:cstheme="minorHAnsi"/>
          <w:b/>
          <w:bCs/>
        </w:rPr>
        <w:t>Sostieni il tuo vicino”</w:t>
      </w:r>
      <w:r>
        <w:rPr>
          <w:rFonts w:cstheme="minorHAnsi"/>
          <w:b/>
          <w:bCs/>
        </w:rPr>
        <w:t xml:space="preserve">, </w:t>
      </w:r>
      <w:r w:rsidRPr="00D8489D">
        <w:rPr>
          <w:rFonts w:cstheme="minorHAnsi"/>
        </w:rPr>
        <w:t>finanziato</w:t>
      </w:r>
      <w:r>
        <w:t xml:space="preserve"> dalla Regione Autonoma Friuli Venezia Giul</w:t>
      </w:r>
      <w:r w:rsidR="005B5FB4">
        <w:t>ia con risorse del Ministero del lavoro e delle politiche sociali, ha voluto promuovere una valutazione dell’impatto dell’amministrazione di sostegno, focalizzando l’attenzione sui circondari giudiziari di Pordenone e Gorizia, afferenti alla Corte d’Appello di Trieste, territori dove l’AIASS opera da tempo. L’analisi valutativa è stata affidata all’</w:t>
      </w:r>
      <w:proofErr w:type="spellStart"/>
      <w:r w:rsidR="00175B93">
        <w:t>IRSSeS</w:t>
      </w:r>
      <w:proofErr w:type="spellEnd"/>
      <w:r w:rsidR="00175B93">
        <w:t xml:space="preserve"> </w:t>
      </w:r>
      <w:r w:rsidR="00C7518E">
        <w:t xml:space="preserve">(Istituto Regionale per gli Studi di Servizio Sociale) </w:t>
      </w:r>
      <w:r w:rsidR="008E644C">
        <w:t>che, durante il 2019, ha effettuato una ricognizione di tutta la documentazione prodotta sull’argomento, ha esplorato le principali banche dati statistiche disponibili e ha realizzato oltre 50 interviste. D</w:t>
      </w:r>
      <w:r w:rsidR="005B5FB4">
        <w:t>i seguito daremo conto dei principali risultati emersi</w:t>
      </w:r>
      <w:r w:rsidR="000E07DF">
        <w:t xml:space="preserve"> nelle varie dimensioni su cui è stato declinato l’impatto.</w:t>
      </w:r>
    </w:p>
    <w:p w14:paraId="2B04E1AF" w14:textId="6123686D" w:rsidR="0045468B" w:rsidRPr="0045468B" w:rsidRDefault="00EB3EBC" w:rsidP="0016658B">
      <w:pPr>
        <w:spacing w:after="120"/>
        <w:jc w:val="both"/>
        <w:rPr>
          <w:b/>
        </w:rPr>
      </w:pPr>
      <w:r>
        <w:rPr>
          <w:b/>
        </w:rPr>
        <w:t xml:space="preserve">Principali </w:t>
      </w:r>
      <w:r w:rsidR="0045468B" w:rsidRPr="0045468B">
        <w:rPr>
          <w:b/>
        </w:rPr>
        <w:t>risultati emersi</w:t>
      </w:r>
    </w:p>
    <w:p w14:paraId="17E752BC" w14:textId="03C11877" w:rsidR="001D652F" w:rsidRDefault="001D652F" w:rsidP="0016658B">
      <w:pPr>
        <w:spacing w:after="120"/>
        <w:jc w:val="both"/>
      </w:pPr>
      <w:r w:rsidRPr="00412D06">
        <w:rPr>
          <w:b/>
          <w:bCs/>
          <w:i/>
          <w:iCs/>
          <w:color w:val="365F91" w:themeColor="accent1" w:themeShade="BF"/>
        </w:rPr>
        <w:t>La diffusione dell’istituto</w:t>
      </w:r>
      <w:r w:rsidRPr="00412D06">
        <w:rPr>
          <w:b/>
          <w:bCs/>
          <w:color w:val="365F91" w:themeColor="accent1" w:themeShade="BF"/>
        </w:rPr>
        <w:t>.</w:t>
      </w:r>
      <w:r w:rsidRPr="00412D06">
        <w:rPr>
          <w:color w:val="365F91" w:themeColor="accent1" w:themeShade="BF"/>
        </w:rPr>
        <w:t xml:space="preserve"> </w:t>
      </w:r>
      <w:r w:rsidR="009E0660">
        <w:t xml:space="preserve">L’analisi valutativa ha preso </w:t>
      </w:r>
      <w:r w:rsidR="00E25ADF">
        <w:t xml:space="preserve">avvio dall’identificazione </w:t>
      </w:r>
      <w:r w:rsidR="0065711F">
        <w:t xml:space="preserve">delle principali basi informative </w:t>
      </w:r>
      <w:r w:rsidR="00E25ADF">
        <w:t xml:space="preserve">in grado di ricostruire la </w:t>
      </w:r>
      <w:r w:rsidR="009E0660">
        <w:t xml:space="preserve">diffusione </w:t>
      </w:r>
      <w:r w:rsidR="00E25ADF">
        <w:t xml:space="preserve">quantitativa </w:t>
      </w:r>
      <w:r w:rsidR="009E0660">
        <w:t>dei provvedimenti di amministrazione di sostegno</w:t>
      </w:r>
      <w:r w:rsidR="00BE4668">
        <w:t xml:space="preserve">. </w:t>
      </w:r>
      <w:r>
        <w:t>Ebbene, s</w:t>
      </w:r>
      <w:r w:rsidR="00EA72E9">
        <w:t xml:space="preserve">econdo i dati della Giustizia civile si tratta di un istituto che negli anni si è </w:t>
      </w:r>
      <w:r w:rsidR="005F14F2">
        <w:t xml:space="preserve">notevolmente </w:t>
      </w:r>
      <w:r w:rsidR="00EA72E9">
        <w:t>propagato raggiungendo una platea sempre più ampia di amministrati</w:t>
      </w:r>
      <w:r w:rsidR="00E25ADF">
        <w:t>, anche se con forti differenze territoriali</w:t>
      </w:r>
      <w:r w:rsidR="0065711F">
        <w:t>.</w:t>
      </w:r>
      <w:r w:rsidR="00EA72E9">
        <w:t xml:space="preserve"> </w:t>
      </w:r>
      <w:r w:rsidR="004E35D8">
        <w:t>Nel</w:t>
      </w:r>
      <w:r w:rsidR="00BE4668">
        <w:t xml:space="preserve"> distretto della Corte d’Appello di Trieste </w:t>
      </w:r>
      <w:r w:rsidR="00531172">
        <w:t xml:space="preserve">(che include anche 11 Comuni </w:t>
      </w:r>
      <w:r w:rsidR="00531172">
        <w:lastRenderedPageBreak/>
        <w:t xml:space="preserve">del Veneto Orientale) </w:t>
      </w:r>
      <w:r w:rsidR="004E35D8">
        <w:t xml:space="preserve">si registra </w:t>
      </w:r>
      <w:r w:rsidR="00BE4668">
        <w:t xml:space="preserve">il valore più alto </w:t>
      </w:r>
      <w:r w:rsidR="00AF5A0F">
        <w:t xml:space="preserve">misurato </w:t>
      </w:r>
      <w:r w:rsidR="00BE4668">
        <w:t>a livello nazionale nell’incidenza dei provvedimenti sulla popolazione residente (1,77 contro lo 0,80</w:t>
      </w:r>
      <w:r w:rsidR="00EA72E9">
        <w:t xml:space="preserve">, </w:t>
      </w:r>
      <w:r w:rsidR="00E25ADF">
        <w:t>nell’</w:t>
      </w:r>
      <w:r w:rsidR="00EA72E9">
        <w:t>anno 2016</w:t>
      </w:r>
      <w:r w:rsidR="00BE4668">
        <w:t>).</w:t>
      </w:r>
      <w:r w:rsidR="005F14F2">
        <w:t xml:space="preserve"> A giugno 2018, gli amministrati risultavano </w:t>
      </w:r>
      <w:r w:rsidR="00E25ADF">
        <w:t xml:space="preserve">essere </w:t>
      </w:r>
      <w:r w:rsidR="005F14F2">
        <w:t>oltre 11.000</w:t>
      </w:r>
      <w:r w:rsidR="00531172">
        <w:t>, la maggior parte anziani, ma anche adulti fragili</w:t>
      </w:r>
      <w:r w:rsidR="005F14F2">
        <w:t>.</w:t>
      </w:r>
      <w:r w:rsidR="00AF5A0F">
        <w:t xml:space="preserve"> </w:t>
      </w:r>
      <w:r w:rsidR="009C565D">
        <w:t xml:space="preserve">Un </w:t>
      </w:r>
      <w:r w:rsidR="00E25ADF">
        <w:t xml:space="preserve">terzo circa </w:t>
      </w:r>
      <w:r w:rsidR="009C565D">
        <w:t xml:space="preserve">di questi </w:t>
      </w:r>
      <w:r w:rsidR="0010454F">
        <w:t xml:space="preserve">amministrati è </w:t>
      </w:r>
      <w:r w:rsidR="004E35D8">
        <w:t>anche utente dei S</w:t>
      </w:r>
      <w:r w:rsidR="001B6886">
        <w:t xml:space="preserve">ervizi sociali, più o meno altrettanti sono ospiti di strutture residenziali o di servizi sanitari </w:t>
      </w:r>
      <w:r w:rsidR="0010454F">
        <w:t>e</w:t>
      </w:r>
      <w:r w:rsidR="001B6886">
        <w:t xml:space="preserve"> sociosanitari; </w:t>
      </w:r>
      <w:r w:rsidR="0010454F">
        <w:t xml:space="preserve">mentre </w:t>
      </w:r>
      <w:r w:rsidR="00E25ADF">
        <w:t>l</w:t>
      </w:r>
      <w:r w:rsidR="0010454F">
        <w:t xml:space="preserve">a terza parte sembra non beneficiare di alcun servizio di welfare istituzionale pubblico. </w:t>
      </w:r>
    </w:p>
    <w:p w14:paraId="01CAE9F2" w14:textId="6F234B5F" w:rsidR="0010454F" w:rsidRDefault="001D652F" w:rsidP="0016658B">
      <w:pPr>
        <w:spacing w:after="120"/>
        <w:jc w:val="both"/>
      </w:pPr>
      <w:r w:rsidRPr="00412D06">
        <w:rPr>
          <w:b/>
          <w:bCs/>
          <w:i/>
          <w:iCs/>
          <w:color w:val="365F91" w:themeColor="accent1" w:themeShade="BF"/>
        </w:rPr>
        <w:t>Una misura di protezione in più per le persone fragili</w:t>
      </w:r>
      <w:r w:rsidRPr="00412D06">
        <w:rPr>
          <w:b/>
          <w:bCs/>
          <w:color w:val="365F91" w:themeColor="accent1" w:themeShade="BF"/>
        </w:rPr>
        <w:t>.</w:t>
      </w:r>
      <w:r w:rsidRPr="00412D06">
        <w:rPr>
          <w:color w:val="365F91" w:themeColor="accent1" w:themeShade="BF"/>
        </w:rPr>
        <w:t xml:space="preserve"> </w:t>
      </w:r>
      <w:r w:rsidR="00AF5A0F">
        <w:t>L’analisi condotta non ha permesso di stabilire con precisione se e quanto questa protezione stia sostituendo le forme più restrittive di interdizione e inabilitazione, come auspicato dallo stesso legislatore.</w:t>
      </w:r>
      <w:r w:rsidR="009C565D">
        <w:t xml:space="preserve"> Appare invece chiaro che l’istituto è impiegato in situazioni in cui precedentemente la responsabilità era lasciata informalmente ai familiari o alla stessa persona in difficoltà. </w:t>
      </w:r>
      <w:r>
        <w:t>Quindi sembra possibile affermare che l’Amministrazione di sostegno ampli i diritti delle persone fragili, tutelandoli ma al contempo lasciandogli maggior autonomia decisionale.</w:t>
      </w:r>
    </w:p>
    <w:p w14:paraId="607DAA2D" w14:textId="2328AEDD" w:rsidR="00EB4A63" w:rsidRDefault="001D652F" w:rsidP="0016658B">
      <w:pPr>
        <w:spacing w:after="120"/>
        <w:jc w:val="both"/>
      </w:pPr>
      <w:r w:rsidRPr="00412D06">
        <w:rPr>
          <w:b/>
          <w:bCs/>
          <w:i/>
          <w:iCs/>
          <w:color w:val="365F91" w:themeColor="accent1" w:themeShade="BF"/>
        </w:rPr>
        <w:t>L’impatto culturale</w:t>
      </w:r>
      <w:r w:rsidRPr="00412D06">
        <w:rPr>
          <w:color w:val="365F91" w:themeColor="accent1" w:themeShade="BF"/>
        </w:rPr>
        <w:t xml:space="preserve">. </w:t>
      </w:r>
      <w:r w:rsidR="00160F46">
        <w:t xml:space="preserve">Dal punto di vista culturale, l’amministrazione di sostegno sta effettivamente affermando una nuova concezione delle persone fragili, riconoscendo loro maggior dignità e più diritti, fondata su una giustizia di prossimità. </w:t>
      </w:r>
      <w:r w:rsidR="00E25ADF">
        <w:t xml:space="preserve">Numerosi interventi informativi e percorsi formativi stanno </w:t>
      </w:r>
      <w:r w:rsidR="006331C9">
        <w:t>lentamente disseminando</w:t>
      </w:r>
      <w:r w:rsidR="00E25ADF">
        <w:t xml:space="preserve"> questa concezione </w:t>
      </w:r>
      <w:r w:rsidR="006331C9">
        <w:t xml:space="preserve">proponendosi, allo stesso tempo, di </w:t>
      </w:r>
      <w:r w:rsidR="00E25ADF">
        <w:t xml:space="preserve">intercettare la solidarietà dei cittadini. </w:t>
      </w:r>
      <w:r w:rsidR="00160F46">
        <w:t xml:space="preserve">Trattasi di una innovazione culturale che incontra però anche forme di resistenza, alimentata da una grande discrezionalità dei Giudici tutelari che possono adottare interpretazioni prudenziali e dunque restrittive </w:t>
      </w:r>
      <w:r w:rsidR="006331C9">
        <w:t xml:space="preserve">della normativa. I riflessi di queste interpretazioni sono ben riscontrabili, anche nei due circondari analizzati, </w:t>
      </w:r>
      <w:r w:rsidR="00160F46">
        <w:t>nelle nomine degli amministratori di sostegno, nel</w:t>
      </w:r>
      <w:r w:rsidR="0011422C">
        <w:t>l’interlocuzione con i</w:t>
      </w:r>
      <w:r w:rsidR="00160F46">
        <w:t xml:space="preserve"> Servizi sociali e con gli attori del Terzo settore.</w:t>
      </w:r>
      <w:r w:rsidR="005F14F2">
        <w:t xml:space="preserve"> </w:t>
      </w:r>
      <w:r w:rsidR="00BE4668">
        <w:t xml:space="preserve"> </w:t>
      </w:r>
    </w:p>
    <w:p w14:paraId="4FF66235" w14:textId="5BF6E02A" w:rsidR="00086B32" w:rsidRDefault="001D652F" w:rsidP="0016658B">
      <w:pPr>
        <w:spacing w:after="120"/>
        <w:jc w:val="both"/>
      </w:pPr>
      <w:r w:rsidRPr="00412D06">
        <w:rPr>
          <w:b/>
          <w:bCs/>
          <w:i/>
          <w:iCs/>
          <w:color w:val="365F91" w:themeColor="accent1" w:themeShade="BF"/>
        </w:rPr>
        <w:t>Impatto istituzionale e organizzativo</w:t>
      </w:r>
      <w:r w:rsidRPr="00412D06">
        <w:rPr>
          <w:b/>
          <w:bCs/>
          <w:color w:val="365F91" w:themeColor="accent1" w:themeShade="BF"/>
        </w:rPr>
        <w:t>.</w:t>
      </w:r>
      <w:r w:rsidRPr="00412D06">
        <w:rPr>
          <w:color w:val="365F91" w:themeColor="accent1" w:themeShade="BF"/>
        </w:rPr>
        <w:t xml:space="preserve"> </w:t>
      </w:r>
      <w:r w:rsidR="006D2747">
        <w:t xml:space="preserve">Nei due circondari, pur </w:t>
      </w:r>
      <w:r w:rsidR="00BD7A92">
        <w:t>in modo differenziato</w:t>
      </w:r>
      <w:r w:rsidR="006D2747">
        <w:t>, l’Amministrazione di sostegno ha</w:t>
      </w:r>
      <w:r w:rsidR="00BD7A92">
        <w:t>:</w:t>
      </w:r>
      <w:r w:rsidR="006D2747">
        <w:t xml:space="preserve"> favorito </w:t>
      </w:r>
      <w:r w:rsidR="00EB4A63">
        <w:t>un riassetto degli uffici giudiziari del Tribunale</w:t>
      </w:r>
      <w:r w:rsidR="00BD7A92">
        <w:t xml:space="preserve">; </w:t>
      </w:r>
      <w:r w:rsidR="00EB4A63">
        <w:t xml:space="preserve">l’attivazione di sportelli dedicati a fornire informazione e </w:t>
      </w:r>
      <w:r w:rsidR="00BD7A92">
        <w:t xml:space="preserve">assistenza </w:t>
      </w:r>
      <w:r w:rsidR="00EB4A63">
        <w:t xml:space="preserve">in tutte le fasi </w:t>
      </w:r>
      <w:r w:rsidR="00BD7A92">
        <w:t>al</w:t>
      </w:r>
      <w:r w:rsidR="00EB4A63">
        <w:t>le famiglie</w:t>
      </w:r>
      <w:r w:rsidR="006331C9">
        <w:t xml:space="preserve"> e </w:t>
      </w:r>
      <w:r w:rsidR="00BD7A92">
        <w:t>a</w:t>
      </w:r>
      <w:r w:rsidR="006331C9">
        <w:t>gli stessi amministratori</w:t>
      </w:r>
      <w:r w:rsidR="004E35D8">
        <w:t xml:space="preserve">, operando </w:t>
      </w:r>
      <w:r w:rsidR="00EB4A63">
        <w:t xml:space="preserve">in stretta collaborazione con le </w:t>
      </w:r>
      <w:r w:rsidR="004E35D8">
        <w:t xml:space="preserve">cancellerie e </w:t>
      </w:r>
      <w:r w:rsidR="006331C9">
        <w:t xml:space="preserve">con </w:t>
      </w:r>
      <w:r w:rsidR="004E35D8">
        <w:t>i Servizi sociali</w:t>
      </w:r>
      <w:r w:rsidR="00EB4A63">
        <w:t>.</w:t>
      </w:r>
      <w:r w:rsidR="00914A7F">
        <w:t xml:space="preserve"> </w:t>
      </w:r>
      <w:r w:rsidR="00455DAD">
        <w:t>Questi sportelli</w:t>
      </w:r>
      <w:r w:rsidR="000E10B6">
        <w:t>, la cui gestione è affidata ad Enti del Terzo settore,</w:t>
      </w:r>
      <w:r w:rsidR="00455DAD">
        <w:t xml:space="preserve"> sono diventati parte i</w:t>
      </w:r>
      <w:r w:rsidR="000E10B6">
        <w:t>ntegrante e ormai imprescindibile de</w:t>
      </w:r>
      <w:r w:rsidR="00455DAD">
        <w:t>l sistema di interventi e servizi sociali</w:t>
      </w:r>
      <w:r w:rsidR="000E10B6">
        <w:t xml:space="preserve"> locali</w:t>
      </w:r>
      <w:r w:rsidR="00455DAD">
        <w:t>.</w:t>
      </w:r>
      <w:r w:rsidR="00914A7F">
        <w:t xml:space="preserve"> </w:t>
      </w:r>
      <w:r w:rsidR="004E35D8">
        <w:t xml:space="preserve">Si sono altresì costituite associazioni </w:t>
      </w:r>
      <w:r w:rsidR="006331C9">
        <w:t>con</w:t>
      </w:r>
      <w:r w:rsidR="00025207">
        <w:t xml:space="preserve"> </w:t>
      </w:r>
      <w:r w:rsidR="00025207" w:rsidRPr="00014EAC">
        <w:t>lo</w:t>
      </w:r>
      <w:r w:rsidR="006331C9">
        <w:t xml:space="preserve"> specifico scopo statutario della promozione dell’amministratore di sostegno </w:t>
      </w:r>
      <w:r w:rsidR="004E35D8">
        <w:t>e</w:t>
      </w:r>
      <w:r w:rsidR="00BF6FCE">
        <w:t xml:space="preserve">, </w:t>
      </w:r>
      <w:r w:rsidR="00BD7A92">
        <w:t>nel Pordenonese</w:t>
      </w:r>
      <w:r w:rsidR="00BF6FCE">
        <w:t>,</w:t>
      </w:r>
      <w:r w:rsidR="004E35D8">
        <w:t xml:space="preserve"> fra di esse si è dato vita a reti collaborative, </w:t>
      </w:r>
      <w:r w:rsidR="00BF6FCE">
        <w:t xml:space="preserve">a </w:t>
      </w:r>
      <w:r w:rsidR="004E35D8">
        <w:t>partenariati progettuali</w:t>
      </w:r>
      <w:r w:rsidR="00BF6FCE">
        <w:t xml:space="preserve"> che includono soggetti pubblici e privati</w:t>
      </w:r>
      <w:r w:rsidR="00BD7A92">
        <w:t xml:space="preserve"> (inclusa la </w:t>
      </w:r>
      <w:r w:rsidR="00BD7A92" w:rsidRPr="00412D06">
        <w:rPr>
          <w:b/>
          <w:bCs/>
        </w:rPr>
        <w:t xml:space="preserve">Fondazione Friuli </w:t>
      </w:r>
      <w:r w:rsidR="00BD7A92">
        <w:t>che sostiene da anni le loro progettualità)</w:t>
      </w:r>
      <w:r w:rsidR="00BF6FCE">
        <w:t>, in un’ottica effettiva di sussidiarietà</w:t>
      </w:r>
      <w:r w:rsidR="006331C9">
        <w:t xml:space="preserve"> </w:t>
      </w:r>
      <w:r w:rsidR="00455DAD">
        <w:t xml:space="preserve">orizzontale e </w:t>
      </w:r>
      <w:r w:rsidR="006331C9">
        <w:t>circolare</w:t>
      </w:r>
      <w:r w:rsidR="004E35D8">
        <w:t xml:space="preserve">. </w:t>
      </w:r>
      <w:r w:rsidR="00F24D2B">
        <w:t>I</w:t>
      </w:r>
      <w:r w:rsidR="00455DAD">
        <w:t xml:space="preserve">nfine, </w:t>
      </w:r>
      <w:r w:rsidR="00F24D2B">
        <w:t xml:space="preserve">appare interessante </w:t>
      </w:r>
      <w:r w:rsidR="00455DAD">
        <w:t xml:space="preserve">segnalare l’avvio della </w:t>
      </w:r>
      <w:r w:rsidR="00F24D2B">
        <w:t>sperimentazione del Consigliere delegato all’amministrazione di sostegno nei consigli comunali.</w:t>
      </w:r>
    </w:p>
    <w:p w14:paraId="3A225E46" w14:textId="72D1A0B9" w:rsidR="00B310D1" w:rsidRDefault="000E07DF" w:rsidP="0016658B">
      <w:pPr>
        <w:spacing w:after="120"/>
        <w:jc w:val="both"/>
      </w:pPr>
      <w:r w:rsidRPr="00412D06">
        <w:rPr>
          <w:b/>
          <w:bCs/>
          <w:i/>
          <w:iCs/>
          <w:color w:val="365F91" w:themeColor="accent1" w:themeShade="BF"/>
        </w:rPr>
        <w:t>Impatto sociale</w:t>
      </w:r>
      <w:r w:rsidRPr="00412D06">
        <w:rPr>
          <w:b/>
          <w:bCs/>
          <w:color w:val="365F91" w:themeColor="accent1" w:themeShade="BF"/>
        </w:rPr>
        <w:t>.</w:t>
      </w:r>
      <w:r w:rsidRPr="00412D06">
        <w:rPr>
          <w:color w:val="365F91" w:themeColor="accent1" w:themeShade="BF"/>
        </w:rPr>
        <w:t xml:space="preserve"> </w:t>
      </w:r>
      <w:r w:rsidR="00086B32">
        <w:t>Per quanto concerne la dimensione</w:t>
      </w:r>
      <w:r w:rsidR="00CD18A2">
        <w:t xml:space="preserve"> sociale, l’istituto ha di fatto prodotto una nuova figura di </w:t>
      </w:r>
      <w:r w:rsidR="00CD18A2" w:rsidRPr="00A63D19">
        <w:rPr>
          <w:i/>
        </w:rPr>
        <w:t>care-</w:t>
      </w:r>
      <w:proofErr w:type="spellStart"/>
      <w:r w:rsidR="00CD18A2" w:rsidRPr="00A63D19">
        <w:rPr>
          <w:i/>
        </w:rPr>
        <w:t>giver</w:t>
      </w:r>
      <w:proofErr w:type="spellEnd"/>
      <w:r w:rsidR="00CD18A2">
        <w:t>, rendendo possibile l’attivazione di una gamma di risposte precedentemente disattese o solo marginalmente fornite nel sistema di welfare. Un</w:t>
      </w:r>
      <w:r w:rsidR="00455DAD">
        <w:t>a</w:t>
      </w:r>
      <w:r w:rsidR="00CD18A2">
        <w:t xml:space="preserve"> figura di </w:t>
      </w:r>
      <w:r w:rsidR="00CD18A2" w:rsidRPr="00A63D19">
        <w:rPr>
          <w:i/>
        </w:rPr>
        <w:t>care-</w:t>
      </w:r>
      <w:proofErr w:type="spellStart"/>
      <w:r w:rsidR="00CD18A2" w:rsidRPr="00A63D19">
        <w:rPr>
          <w:i/>
        </w:rPr>
        <w:t>giver</w:t>
      </w:r>
      <w:proofErr w:type="spellEnd"/>
      <w:r w:rsidR="00CD18A2">
        <w:t xml:space="preserve"> che </w:t>
      </w:r>
      <w:r w:rsidR="00455DAD">
        <w:t>può essere assunta da diversi soggetti: familiari, volontari, professionisti, amministratori locali. Nel caso che è stato maggiormente esplorato, quello dei volontari (talvolta in tale categoria sono da ricomprendervi anche professionisti che assumono il ruolo in modo totalmente gratuito) si è rilevato come esso rinvii</w:t>
      </w:r>
      <w:r w:rsidR="00CD18A2">
        <w:t xml:space="preserve"> ad un’emergente forma di volontariato di prossimità: legittimato da una nomina del Giudice tutelare, delineato nelle funzioni, responsabilizzato, con competenze multiple, potenzialmente </w:t>
      </w:r>
      <w:r w:rsidR="00455DAD">
        <w:t>non vincolato ad</w:t>
      </w:r>
      <w:r w:rsidR="00CD18A2">
        <w:t xml:space="preserve"> appartenenze organizzative. </w:t>
      </w:r>
      <w:r w:rsidR="00BD7A92">
        <w:t xml:space="preserve">Vi sono numerose evidenze, che andrebbero meglio esplorate, che affermano pure che il tessuto sociale dell’amministrato è stato rafforzato, incrementandone benessere relazionale e, più in generale, </w:t>
      </w:r>
      <w:r w:rsidR="008E644C">
        <w:t>qualità d</w:t>
      </w:r>
      <w:r w:rsidR="00BD7A92">
        <w:t xml:space="preserve">i </w:t>
      </w:r>
      <w:r w:rsidR="008E644C">
        <w:t>vita</w:t>
      </w:r>
      <w:r w:rsidR="00BD7A92">
        <w:t xml:space="preserve">. </w:t>
      </w:r>
      <w:r w:rsidR="008E644C">
        <w:t xml:space="preserve"> </w:t>
      </w:r>
    </w:p>
    <w:p w14:paraId="53878729" w14:textId="787B0731" w:rsidR="00F82529" w:rsidRDefault="007857A7" w:rsidP="0016658B">
      <w:pPr>
        <w:spacing w:after="120"/>
        <w:jc w:val="both"/>
      </w:pPr>
      <w:r w:rsidRPr="00412D06">
        <w:rPr>
          <w:b/>
          <w:bCs/>
          <w:i/>
          <w:iCs/>
          <w:color w:val="365F91" w:themeColor="accent1" w:themeShade="BF"/>
        </w:rPr>
        <w:lastRenderedPageBreak/>
        <w:t>Impatto economico</w:t>
      </w:r>
      <w:r w:rsidRPr="00412D06">
        <w:rPr>
          <w:b/>
          <w:bCs/>
          <w:color w:val="365F91" w:themeColor="accent1" w:themeShade="BF"/>
        </w:rPr>
        <w:t>.</w:t>
      </w:r>
      <w:r w:rsidRPr="00412D06">
        <w:rPr>
          <w:color w:val="365F91" w:themeColor="accent1" w:themeShade="BF"/>
        </w:rPr>
        <w:t xml:space="preserve"> </w:t>
      </w:r>
      <w:r w:rsidR="000E10B6">
        <w:t>La</w:t>
      </w:r>
      <w:r w:rsidR="00B310D1">
        <w:t xml:space="preserve"> valutazione dell’impatto economico </w:t>
      </w:r>
      <w:r w:rsidR="000E10B6">
        <w:t xml:space="preserve">dell’amministrazione di sostegno </w:t>
      </w:r>
      <w:r w:rsidR="00B310D1">
        <w:t xml:space="preserve">è stata appena abbozzata in quanto </w:t>
      </w:r>
      <w:r w:rsidR="00421C72">
        <w:t xml:space="preserve">si è </w:t>
      </w:r>
      <w:r w:rsidR="00BD7A92">
        <w:t xml:space="preserve">rilevato </w:t>
      </w:r>
      <w:r w:rsidR="00B310D1">
        <w:t>piu</w:t>
      </w:r>
      <w:r w:rsidR="00F82529">
        <w:t xml:space="preserve">ttosto difficile identificare un unico valore di </w:t>
      </w:r>
      <w:r w:rsidR="00F82529" w:rsidRPr="00F82529">
        <w:rPr>
          <w:i/>
        </w:rPr>
        <w:t>bottom line</w:t>
      </w:r>
      <w:r w:rsidR="00F82529">
        <w:rPr>
          <w:i/>
        </w:rPr>
        <w:t xml:space="preserve"> </w:t>
      </w:r>
      <w:r w:rsidR="00F82529" w:rsidRPr="00F82529">
        <w:t>(l’ultima riga di un bilancio</w:t>
      </w:r>
      <w:r w:rsidR="00F82529">
        <w:t xml:space="preserve"> che segna se il risultato finale è una perdita, un utile o un pareggio</w:t>
      </w:r>
      <w:r w:rsidR="00F82529" w:rsidRPr="00F82529">
        <w:t>)</w:t>
      </w:r>
      <w:r w:rsidR="000E10B6">
        <w:t xml:space="preserve"> in un sistema di enti </w:t>
      </w:r>
      <w:r w:rsidR="00BD7A92">
        <w:t xml:space="preserve">diversi </w:t>
      </w:r>
      <w:r w:rsidR="000E10B6">
        <w:t>e interventi piuttosto articolato</w:t>
      </w:r>
      <w:r w:rsidR="00B310D1" w:rsidRPr="00F82529">
        <w:t>.</w:t>
      </w:r>
      <w:r w:rsidR="00B310D1">
        <w:t xml:space="preserve"> Ad ogni modo, è indubbio che questo istituto abbia rappresentato inizialmente un incremento dei costi per la pubblica amministrazione, sia per quanto concerne il settore giudiziario</w:t>
      </w:r>
      <w:r w:rsidR="00F82529">
        <w:t xml:space="preserve"> (misurabile in particolare nell’aggravio di impegno </w:t>
      </w:r>
      <w:r w:rsidR="000E10B6">
        <w:t xml:space="preserve">lavorativo per i giudici e il personale della </w:t>
      </w:r>
      <w:r w:rsidR="00F82529">
        <w:t>cancelleria</w:t>
      </w:r>
      <w:r w:rsidR="00421C72">
        <w:t xml:space="preserve"> dei Tribunali</w:t>
      </w:r>
      <w:r w:rsidR="00F82529">
        <w:t>)</w:t>
      </w:r>
      <w:r w:rsidR="00B310D1">
        <w:t xml:space="preserve">, sia per quanto concerne </w:t>
      </w:r>
      <w:r w:rsidR="00025207" w:rsidRPr="00D6600A">
        <w:t>l</w:t>
      </w:r>
      <w:r w:rsidR="000E10B6" w:rsidRPr="00D6600A">
        <w:t xml:space="preserve">a </w:t>
      </w:r>
      <w:r w:rsidR="000E10B6">
        <w:t xml:space="preserve">spesa </w:t>
      </w:r>
      <w:r w:rsidR="00B310D1">
        <w:t>sociale (</w:t>
      </w:r>
      <w:r w:rsidR="00117C52">
        <w:t xml:space="preserve">misurabile nelle risorse destinate </w:t>
      </w:r>
      <w:r w:rsidR="000E10B6">
        <w:t xml:space="preserve">alla promozione e </w:t>
      </w:r>
      <w:r w:rsidR="00117C52">
        <w:t xml:space="preserve">all’attuazione dell’istituto da parte di Regione, Enti Locali, Aziende sanitarie). Contemporaneamente, lo sviluppo delle responsabilità familiari e solidaristiche </w:t>
      </w:r>
      <w:r w:rsidR="000E10B6">
        <w:t xml:space="preserve">di tipo comunitario </w:t>
      </w:r>
      <w:r w:rsidR="00421C72">
        <w:t xml:space="preserve">(leggasi amministratori di sostegno volontari) </w:t>
      </w:r>
      <w:r w:rsidR="00117C52">
        <w:t xml:space="preserve">ha favorito un risparmio della spesa assistenziale e </w:t>
      </w:r>
      <w:r w:rsidR="000E10B6">
        <w:t>i</w:t>
      </w:r>
      <w:r w:rsidR="00117C52">
        <w:t>l mantenimento dei patrimoni degli amministrati</w:t>
      </w:r>
      <w:r w:rsidR="000E10B6">
        <w:t>, quando non un recupero di risorse aggiuntive</w:t>
      </w:r>
      <w:r w:rsidR="00BD7A92">
        <w:t xml:space="preserve"> rimaste latenti</w:t>
      </w:r>
      <w:r w:rsidR="00117C52">
        <w:t xml:space="preserve">. Ha altresì dischiuso un mercato per avvocati e commercialisti e ha offerto </w:t>
      </w:r>
      <w:r w:rsidR="00421C72">
        <w:t xml:space="preserve">pure qualche </w:t>
      </w:r>
      <w:r w:rsidR="00117C52">
        <w:t>spazi</w:t>
      </w:r>
      <w:r w:rsidR="00421C72">
        <w:t>o</w:t>
      </w:r>
      <w:r w:rsidR="00117C52">
        <w:t xml:space="preserve"> occupazional</w:t>
      </w:r>
      <w:r w:rsidR="00421C72">
        <w:t>e</w:t>
      </w:r>
      <w:r w:rsidR="00117C52">
        <w:t xml:space="preserve"> per gli Enti del Terzo settore.</w:t>
      </w:r>
    </w:p>
    <w:p w14:paraId="0ECE80B1" w14:textId="77777777" w:rsidR="00F518E8" w:rsidRDefault="00421C72" w:rsidP="0016658B">
      <w:pPr>
        <w:spacing w:after="120"/>
        <w:jc w:val="both"/>
      </w:pPr>
      <w:r w:rsidRPr="00412D06">
        <w:rPr>
          <w:b/>
          <w:bCs/>
          <w:i/>
          <w:iCs/>
          <w:color w:val="365F91" w:themeColor="accent1" w:themeShade="BF"/>
        </w:rPr>
        <w:t>Impatto ambientale</w:t>
      </w:r>
      <w:r w:rsidRPr="00412D06">
        <w:rPr>
          <w:b/>
          <w:bCs/>
          <w:color w:val="365F91" w:themeColor="accent1" w:themeShade="BF"/>
        </w:rPr>
        <w:t>.</w:t>
      </w:r>
      <w:r w:rsidRPr="00412D06">
        <w:rPr>
          <w:color w:val="365F91" w:themeColor="accent1" w:themeShade="BF"/>
        </w:rPr>
        <w:t xml:space="preserve"> </w:t>
      </w:r>
      <w:r w:rsidR="00F82529">
        <w:t xml:space="preserve">Infine, </w:t>
      </w:r>
      <w:r w:rsidR="00F8211D">
        <w:t xml:space="preserve">è stata </w:t>
      </w:r>
      <w:r w:rsidR="00151C64">
        <w:t xml:space="preserve">pure </w:t>
      </w:r>
      <w:r w:rsidR="00F8211D">
        <w:t>esplorata</w:t>
      </w:r>
      <w:r w:rsidR="00151C64">
        <w:t>, benché ancora in modo non adeguato, la dimensione ambientale</w:t>
      </w:r>
      <w:r w:rsidR="00F8211D">
        <w:t xml:space="preserve"> evidenziando quali possono essere </w:t>
      </w:r>
      <w:r w:rsidR="00E879FE">
        <w:t xml:space="preserve">alcuni significativi </w:t>
      </w:r>
      <w:r w:rsidR="00F8211D">
        <w:t>indicatori per un computo de</w:t>
      </w:r>
      <w:r w:rsidR="00E879FE">
        <w:t xml:space="preserve">i fattori </w:t>
      </w:r>
      <w:r w:rsidR="00F8211D">
        <w:t>di segno negativo (consumo di materie prime, emissione di CO</w:t>
      </w:r>
      <w:r w:rsidR="00F8211D" w:rsidRPr="00F8211D">
        <w:rPr>
          <w:vertAlign w:val="subscript"/>
        </w:rPr>
        <w:t>2</w:t>
      </w:r>
      <w:r w:rsidR="00F8211D">
        <w:t xml:space="preserve"> </w:t>
      </w:r>
      <w:r w:rsidR="001C7B9A">
        <w:t xml:space="preserve">prodotta </w:t>
      </w:r>
      <w:r w:rsidR="00F8211D">
        <w:t>dai trasporti, ecc.) e quelli di segno positivo (risparmi, riciclo, riduzione di emissioni inquinanti</w:t>
      </w:r>
      <w:r w:rsidR="000E10B6">
        <w:t>, ecc.</w:t>
      </w:r>
      <w:r w:rsidR="00F8211D">
        <w:t xml:space="preserve">). </w:t>
      </w:r>
      <w:r w:rsidR="00E879FE">
        <w:t>L</w:t>
      </w:r>
      <w:r w:rsidR="00F8211D">
        <w:t xml:space="preserve">a digitalizzazione e la dematerializzazione di alcune fasi del procedimento giuridico (in particolare si </w:t>
      </w:r>
      <w:r w:rsidR="00E879FE">
        <w:t xml:space="preserve">segnalano </w:t>
      </w:r>
      <w:r w:rsidR="00F8211D">
        <w:t>le</w:t>
      </w:r>
      <w:r w:rsidR="00E879FE">
        <w:t xml:space="preserve"> videoconferenze delle udienze)</w:t>
      </w:r>
      <w:r w:rsidR="00F8211D">
        <w:t xml:space="preserve">, </w:t>
      </w:r>
      <w:r w:rsidR="001C7B9A">
        <w:t xml:space="preserve">come ci sta facendo capire anche </w:t>
      </w:r>
      <w:r w:rsidR="00F8211D">
        <w:t xml:space="preserve">l’attuale periodo di emergenza </w:t>
      </w:r>
      <w:r w:rsidR="00E879FE">
        <w:t>d</w:t>
      </w:r>
      <w:r w:rsidR="001C7B9A">
        <w:t>ovuto a</w:t>
      </w:r>
      <w:r w:rsidR="00E879FE">
        <w:t xml:space="preserve">l </w:t>
      </w:r>
      <w:r w:rsidR="001C7B9A">
        <w:t>coronavirus</w:t>
      </w:r>
      <w:r w:rsidR="00E879FE">
        <w:t>, porterà inevitabilmente ad una riduzione dell’impronta ecologica pure dell’amministrazione di sostegno.</w:t>
      </w:r>
    </w:p>
    <w:p w14:paraId="610127C3" w14:textId="77777777" w:rsidR="00F518E8" w:rsidRDefault="00F518E8" w:rsidP="0016658B">
      <w:pPr>
        <w:spacing w:after="120"/>
        <w:jc w:val="both"/>
      </w:pPr>
    </w:p>
    <w:p w14:paraId="69C7CB35" w14:textId="77777777" w:rsidR="00DA4341" w:rsidRDefault="00F518E8" w:rsidP="00F518E8">
      <w:pPr>
        <w:spacing w:after="120"/>
      </w:pPr>
      <w:r>
        <w:t xml:space="preserve">Allegati disponibili in cartella stampa </w:t>
      </w:r>
      <w:r w:rsidRPr="00412D06">
        <w:rPr>
          <w:b/>
          <w:bCs/>
          <w:color w:val="365F91" w:themeColor="accent1" w:themeShade="BF"/>
          <w:u w:val="single"/>
        </w:rPr>
        <w:t>dal 15 luglio 2020</w:t>
      </w:r>
      <w:r w:rsidRPr="00412D06">
        <w:rPr>
          <w:color w:val="365F91" w:themeColor="accent1" w:themeShade="BF"/>
        </w:rPr>
        <w:t xml:space="preserve"> </w:t>
      </w:r>
      <w:r>
        <w:t>al seguente link</w:t>
      </w:r>
      <w:r w:rsidR="00DA4341">
        <w:t xml:space="preserve"> </w:t>
      </w:r>
    </w:p>
    <w:p w14:paraId="7D7D2446" w14:textId="272C4E62" w:rsidR="00DA4341" w:rsidRPr="00DA4341" w:rsidRDefault="00DA4341" w:rsidP="00F518E8">
      <w:pPr>
        <w:spacing w:after="120"/>
        <w:rPr>
          <w:color w:val="FF0000"/>
          <w:u w:val="single"/>
        </w:rPr>
      </w:pPr>
      <w:r w:rsidRPr="00DA4341">
        <w:rPr>
          <w:color w:val="FF0000"/>
          <w:u w:val="single"/>
        </w:rPr>
        <w:t>(embargo 16 luglio ore 10.00)</w:t>
      </w:r>
    </w:p>
    <w:p w14:paraId="43EFA449" w14:textId="0B1D48C3" w:rsidR="00F518E8" w:rsidRDefault="00F518E8" w:rsidP="00F518E8">
      <w:pPr>
        <w:spacing w:after="120"/>
      </w:pPr>
      <w:r>
        <w:t xml:space="preserve"> </w:t>
      </w:r>
      <w:hyperlink r:id="rId9" w:history="1">
        <w:r w:rsidR="00DA4341" w:rsidRPr="0044442B">
          <w:rPr>
            <w:rStyle w:val="Collegamentoipertestuale"/>
          </w:rPr>
          <w:t>http://www.aiassonlus.it/?p=868</w:t>
        </w:r>
      </w:hyperlink>
    </w:p>
    <w:p w14:paraId="2ED72829" w14:textId="75586BC4" w:rsidR="00F518E8" w:rsidRDefault="00F518E8" w:rsidP="00F518E8">
      <w:pPr>
        <w:pStyle w:val="Paragrafoelenco"/>
        <w:numPr>
          <w:ilvl w:val="0"/>
          <w:numId w:val="3"/>
        </w:numPr>
        <w:spacing w:after="120"/>
        <w:jc w:val="both"/>
      </w:pPr>
      <w:r>
        <w:t>Rapporto completo (n.152 pagine)</w:t>
      </w:r>
      <w:r w:rsidR="00DA4341">
        <w:t xml:space="preserve"> </w:t>
      </w:r>
    </w:p>
    <w:p w14:paraId="3051A3D8" w14:textId="77777777" w:rsidR="001B28B4" w:rsidRDefault="00F518E8" w:rsidP="00F518E8">
      <w:pPr>
        <w:pStyle w:val="Paragrafoelenco"/>
        <w:numPr>
          <w:ilvl w:val="0"/>
          <w:numId w:val="3"/>
        </w:numPr>
        <w:spacing w:after="120"/>
        <w:jc w:val="both"/>
      </w:pPr>
      <w:proofErr w:type="spellStart"/>
      <w:r>
        <w:t>Infografica</w:t>
      </w:r>
      <w:proofErr w:type="spellEnd"/>
      <w:r>
        <w:t xml:space="preserve"> di sintesi</w:t>
      </w:r>
    </w:p>
    <w:p w14:paraId="115900AC" w14:textId="1626898A" w:rsidR="009E0660" w:rsidRDefault="001B28B4" w:rsidP="00F518E8">
      <w:pPr>
        <w:pStyle w:val="Paragrafoelenco"/>
        <w:numPr>
          <w:ilvl w:val="0"/>
          <w:numId w:val="3"/>
        </w:numPr>
        <w:spacing w:after="120"/>
        <w:jc w:val="both"/>
      </w:pPr>
      <w:r>
        <w:t>Comunicato stampa breve</w:t>
      </w:r>
      <w:r w:rsidR="00E879FE">
        <w:t xml:space="preserve"> </w:t>
      </w:r>
      <w:r w:rsidR="00F82529">
        <w:t xml:space="preserve"> </w:t>
      </w:r>
      <w:r w:rsidR="00CD18A2">
        <w:t xml:space="preserve"> </w:t>
      </w:r>
      <w:r w:rsidR="00086B32">
        <w:t xml:space="preserve"> </w:t>
      </w:r>
      <w:r w:rsidR="004E35D8">
        <w:t xml:space="preserve"> </w:t>
      </w:r>
      <w:r w:rsidR="009E0660">
        <w:t xml:space="preserve">     </w:t>
      </w:r>
    </w:p>
    <w:p w14:paraId="1E7B729F" w14:textId="737AD2CC" w:rsidR="0045468B" w:rsidRDefault="00F518E8" w:rsidP="0016658B">
      <w:pPr>
        <w:spacing w:after="120"/>
        <w:jc w:val="both"/>
      </w:pP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49F5D2DF" wp14:editId="4C03A47F">
            <wp:simplePos x="0" y="0"/>
            <wp:positionH relativeFrom="column">
              <wp:posOffset>-229465</wp:posOffset>
            </wp:positionH>
            <wp:positionV relativeFrom="paragraph">
              <wp:posOffset>1809721</wp:posOffset>
            </wp:positionV>
            <wp:extent cx="6116400" cy="1202400"/>
            <wp:effectExtent l="0" t="0" r="0" b="4445"/>
            <wp:wrapTight wrapText="bothSides">
              <wp:wrapPolygon edited="0">
                <wp:start x="0" y="0"/>
                <wp:lineTo x="0" y="21452"/>
                <wp:lineTo x="21528" y="21452"/>
                <wp:lineTo x="21528" y="0"/>
                <wp:lineTo x="0" y="0"/>
              </wp:wrapPolygon>
            </wp:wrapTight>
            <wp:docPr id="2" name="Immagine 2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atata 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400" cy="120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468B" w:rsidSect="00DA4341">
      <w:footerReference w:type="default" r:id="rId11"/>
      <w:pgSz w:w="11906" w:h="16838"/>
      <w:pgMar w:top="83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7FAA1" w14:textId="77777777" w:rsidR="000A7742" w:rsidRDefault="000A7742" w:rsidP="00BF3F98">
      <w:pPr>
        <w:spacing w:after="0" w:line="240" w:lineRule="auto"/>
      </w:pPr>
      <w:r>
        <w:separator/>
      </w:r>
    </w:p>
  </w:endnote>
  <w:endnote w:type="continuationSeparator" w:id="0">
    <w:p w14:paraId="07785585" w14:textId="77777777" w:rsidR="000A7742" w:rsidRDefault="000A7742" w:rsidP="00BF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0535212"/>
      <w:docPartObj>
        <w:docPartGallery w:val="Page Numbers (Bottom of Page)"/>
        <w:docPartUnique/>
      </w:docPartObj>
    </w:sdtPr>
    <w:sdtEndPr/>
    <w:sdtContent>
      <w:p w14:paraId="1769EF6D" w14:textId="30AAC75F" w:rsidR="00C93EB5" w:rsidRDefault="00C93EB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4AFFAF" w14:textId="77777777" w:rsidR="00C93EB5" w:rsidRDefault="00C93E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6F037" w14:textId="77777777" w:rsidR="000A7742" w:rsidRDefault="000A7742" w:rsidP="00BF3F98">
      <w:pPr>
        <w:spacing w:after="0" w:line="240" w:lineRule="auto"/>
      </w:pPr>
      <w:r>
        <w:separator/>
      </w:r>
    </w:p>
  </w:footnote>
  <w:footnote w:type="continuationSeparator" w:id="0">
    <w:p w14:paraId="04C166ED" w14:textId="77777777" w:rsidR="000A7742" w:rsidRDefault="000A7742" w:rsidP="00BF3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A2A02"/>
    <w:multiLevelType w:val="hybridMultilevel"/>
    <w:tmpl w:val="F5988298"/>
    <w:lvl w:ilvl="0" w:tplc="2182EC2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D4139"/>
    <w:multiLevelType w:val="hybridMultilevel"/>
    <w:tmpl w:val="261A3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93B9A"/>
    <w:multiLevelType w:val="hybridMultilevel"/>
    <w:tmpl w:val="9BD00922"/>
    <w:lvl w:ilvl="0" w:tplc="486A7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99"/>
    <w:rsid w:val="00005539"/>
    <w:rsid w:val="00014EAC"/>
    <w:rsid w:val="00025207"/>
    <w:rsid w:val="00032683"/>
    <w:rsid w:val="000369AF"/>
    <w:rsid w:val="00086B32"/>
    <w:rsid w:val="000A7742"/>
    <w:rsid w:val="000D4997"/>
    <w:rsid w:val="000E07DF"/>
    <w:rsid w:val="000E10B6"/>
    <w:rsid w:val="0010454F"/>
    <w:rsid w:val="0011422C"/>
    <w:rsid w:val="00117C52"/>
    <w:rsid w:val="00124005"/>
    <w:rsid w:val="00151C64"/>
    <w:rsid w:val="00160F46"/>
    <w:rsid w:val="0016658B"/>
    <w:rsid w:val="00171A2B"/>
    <w:rsid w:val="00175B93"/>
    <w:rsid w:val="00176461"/>
    <w:rsid w:val="001B28B4"/>
    <w:rsid w:val="001B59C8"/>
    <w:rsid w:val="001B6886"/>
    <w:rsid w:val="001C39CC"/>
    <w:rsid w:val="001C7B9A"/>
    <w:rsid w:val="001D4C2C"/>
    <w:rsid w:val="001D652F"/>
    <w:rsid w:val="001E648E"/>
    <w:rsid w:val="0023248D"/>
    <w:rsid w:val="00260FF2"/>
    <w:rsid w:val="002778D8"/>
    <w:rsid w:val="00284813"/>
    <w:rsid w:val="002B468E"/>
    <w:rsid w:val="002C3DF9"/>
    <w:rsid w:val="002F1DA0"/>
    <w:rsid w:val="00343BBE"/>
    <w:rsid w:val="003C14D1"/>
    <w:rsid w:val="003F426A"/>
    <w:rsid w:val="003F685D"/>
    <w:rsid w:val="00412D06"/>
    <w:rsid w:val="00421C72"/>
    <w:rsid w:val="00443871"/>
    <w:rsid w:val="00445FA0"/>
    <w:rsid w:val="0045468B"/>
    <w:rsid w:val="00455DAD"/>
    <w:rsid w:val="004B348E"/>
    <w:rsid w:val="004D62F7"/>
    <w:rsid w:val="004E35D8"/>
    <w:rsid w:val="00502E9A"/>
    <w:rsid w:val="00517C4E"/>
    <w:rsid w:val="00531172"/>
    <w:rsid w:val="005B5FB4"/>
    <w:rsid w:val="005F14F2"/>
    <w:rsid w:val="005F2506"/>
    <w:rsid w:val="006331C9"/>
    <w:rsid w:val="0063398D"/>
    <w:rsid w:val="00636794"/>
    <w:rsid w:val="0064705E"/>
    <w:rsid w:val="0065711F"/>
    <w:rsid w:val="006652D3"/>
    <w:rsid w:val="00685DDB"/>
    <w:rsid w:val="006C1CC5"/>
    <w:rsid w:val="006C5EE5"/>
    <w:rsid w:val="006D2747"/>
    <w:rsid w:val="006E32BB"/>
    <w:rsid w:val="006F4E43"/>
    <w:rsid w:val="00707749"/>
    <w:rsid w:val="00707ABA"/>
    <w:rsid w:val="00735FBB"/>
    <w:rsid w:val="00741D63"/>
    <w:rsid w:val="0075264C"/>
    <w:rsid w:val="00780123"/>
    <w:rsid w:val="00784CB4"/>
    <w:rsid w:val="007857A7"/>
    <w:rsid w:val="007A3E99"/>
    <w:rsid w:val="007B0C47"/>
    <w:rsid w:val="00820970"/>
    <w:rsid w:val="00836C13"/>
    <w:rsid w:val="00855F1E"/>
    <w:rsid w:val="0086444D"/>
    <w:rsid w:val="00887D88"/>
    <w:rsid w:val="008E1985"/>
    <w:rsid w:val="008E644C"/>
    <w:rsid w:val="00914A7F"/>
    <w:rsid w:val="0094740C"/>
    <w:rsid w:val="00954EAE"/>
    <w:rsid w:val="00965DC5"/>
    <w:rsid w:val="00983FC1"/>
    <w:rsid w:val="00985FCD"/>
    <w:rsid w:val="00997EB7"/>
    <w:rsid w:val="009A3224"/>
    <w:rsid w:val="009C565D"/>
    <w:rsid w:val="009D2509"/>
    <w:rsid w:val="009E0660"/>
    <w:rsid w:val="00A63D19"/>
    <w:rsid w:val="00A84DDA"/>
    <w:rsid w:val="00AA0C89"/>
    <w:rsid w:val="00AA363A"/>
    <w:rsid w:val="00AD4E56"/>
    <w:rsid w:val="00AF5A0F"/>
    <w:rsid w:val="00B20D62"/>
    <w:rsid w:val="00B310D1"/>
    <w:rsid w:val="00B32CD1"/>
    <w:rsid w:val="00B44F0B"/>
    <w:rsid w:val="00B470F8"/>
    <w:rsid w:val="00B622E3"/>
    <w:rsid w:val="00B6535A"/>
    <w:rsid w:val="00BA09F9"/>
    <w:rsid w:val="00BA687E"/>
    <w:rsid w:val="00BD7A92"/>
    <w:rsid w:val="00BE0C37"/>
    <w:rsid w:val="00BE4668"/>
    <w:rsid w:val="00BF3F98"/>
    <w:rsid w:val="00BF6FCE"/>
    <w:rsid w:val="00C1561C"/>
    <w:rsid w:val="00C43CE2"/>
    <w:rsid w:val="00C4798A"/>
    <w:rsid w:val="00C7518E"/>
    <w:rsid w:val="00C770AC"/>
    <w:rsid w:val="00C92BB0"/>
    <w:rsid w:val="00C93EB5"/>
    <w:rsid w:val="00CA77A2"/>
    <w:rsid w:val="00CD18A2"/>
    <w:rsid w:val="00D2097C"/>
    <w:rsid w:val="00D2338A"/>
    <w:rsid w:val="00D41EF2"/>
    <w:rsid w:val="00D6600A"/>
    <w:rsid w:val="00D828EA"/>
    <w:rsid w:val="00D8489D"/>
    <w:rsid w:val="00DA4341"/>
    <w:rsid w:val="00E25ADF"/>
    <w:rsid w:val="00E80746"/>
    <w:rsid w:val="00E879FE"/>
    <w:rsid w:val="00EA72E9"/>
    <w:rsid w:val="00EB3EBC"/>
    <w:rsid w:val="00EB4A63"/>
    <w:rsid w:val="00EC4D79"/>
    <w:rsid w:val="00F24D2B"/>
    <w:rsid w:val="00F30D2E"/>
    <w:rsid w:val="00F47E8B"/>
    <w:rsid w:val="00F518E8"/>
    <w:rsid w:val="00F8211D"/>
    <w:rsid w:val="00F82529"/>
    <w:rsid w:val="00FB09E4"/>
    <w:rsid w:val="00FB70DB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7052C7"/>
  <w15:docId w15:val="{586F848E-B870-4A83-AA23-D6FFF66B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740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3F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3F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3F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93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EB5"/>
  </w:style>
  <w:style w:type="paragraph" w:styleId="Pidipagina">
    <w:name w:val="footer"/>
    <w:basedOn w:val="Normale"/>
    <w:link w:val="PidipaginaCarattere"/>
    <w:uiPriority w:val="99"/>
    <w:unhideWhenUsed/>
    <w:rsid w:val="00C93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EB5"/>
  </w:style>
  <w:style w:type="character" w:styleId="Collegamentoipertestuale">
    <w:name w:val="Hyperlink"/>
    <w:basedOn w:val="Carpredefinitoparagrafo"/>
    <w:uiPriority w:val="99"/>
    <w:unhideWhenUsed/>
    <w:rsid w:val="00F518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18E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18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iassonlus.it/?p=86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D75B-0326-415E-B576-6E8BC7FD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Sergio Silvestre</cp:lastModifiedBy>
  <cp:revision>6</cp:revision>
  <dcterms:created xsi:type="dcterms:W3CDTF">2020-07-02T09:32:00Z</dcterms:created>
  <dcterms:modified xsi:type="dcterms:W3CDTF">2020-07-07T08:02:00Z</dcterms:modified>
</cp:coreProperties>
</file>